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00F65C51" wp14:paraId="2C078E63" wp14:textId="05A647A9">
      <w:pPr>
        <w:rPr>
          <w:b w:val="1"/>
          <w:bCs w:val="1"/>
        </w:rPr>
      </w:pPr>
      <w:r w:rsidRPr="464AF347" w:rsidR="4465FFDF">
        <w:rPr>
          <w:b w:val="1"/>
          <w:bCs w:val="1"/>
        </w:rPr>
        <w:t xml:space="preserve">DRAFT - </w:t>
      </w:r>
      <w:r w:rsidRPr="464AF347" w:rsidR="3713EFD3">
        <w:rPr>
          <w:b w:val="1"/>
          <w:bCs w:val="1"/>
        </w:rPr>
        <w:t xml:space="preserve">MORE Circulation Policy addendum on labeling: </w:t>
      </w:r>
    </w:p>
    <w:p w:rsidR="5F7FA7A6" w:rsidP="00F65C51" w:rsidRDefault="5F7FA7A6" w14:paraId="7733FEB6" w14:textId="3FEC9EF7">
      <w:pPr>
        <w:pStyle w:val="Normal"/>
      </w:pPr>
      <w:r w:rsidR="5F7FA7A6">
        <w:rPr/>
        <w:t>(</w:t>
      </w:r>
      <w:r w:rsidR="3713EFD3">
        <w:rPr/>
        <w:t xml:space="preserve">See </w:t>
      </w:r>
      <w:r w:rsidR="297D2AF5">
        <w:rPr/>
        <w:t xml:space="preserve">"Loaning Within MORE” section on page two of the </w:t>
      </w:r>
      <w:hyperlink r:id="Red527c54deec47c0">
        <w:r w:rsidRPr="00F65C51" w:rsidR="297D2AF5">
          <w:rPr>
            <w:rStyle w:val="Hyperlink"/>
          </w:rPr>
          <w:t>MORE Circulation Policy</w:t>
        </w:r>
      </w:hyperlink>
      <w:r w:rsidR="799A8EB3">
        <w:rPr/>
        <w:t>)</w:t>
      </w:r>
    </w:p>
    <w:p w:rsidR="3713EFD3" w:rsidP="00F65C51" w:rsidRDefault="3713EFD3" w14:paraId="50F8A6E2" w14:textId="1CE57BCE">
      <w:pPr>
        <w:pStyle w:val="ListParagraph"/>
        <w:numPr>
          <w:ilvl w:val="1"/>
          <w:numId w:val="1"/>
        </w:numPr>
        <w:spacing w:after="160"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00F65C51" w:rsidR="3713EFD3">
        <w:rPr>
          <w:rFonts w:ascii="Aptos" w:hAnsi="Aptos" w:eastAsia="Aptos" w:cs="Aptos"/>
          <w:b w:val="0"/>
          <w:bCs w:val="0"/>
          <w:i w:val="0"/>
          <w:iCs w:val="0"/>
          <w:caps w:val="0"/>
          <w:smallCaps w:val="0"/>
          <w:noProof w:val="0"/>
          <w:color w:val="000000" w:themeColor="text1" w:themeTint="FF" w:themeShade="FF"/>
          <w:sz w:val="24"/>
          <w:szCs w:val="24"/>
          <w:lang w:val="en-US"/>
        </w:rPr>
        <w:t xml:space="preserve">MORE member libraries must circulate materials according to their lending rules to all MORE-member library customers with an account in good standing. </w:t>
      </w:r>
    </w:p>
    <w:p w:rsidR="3713EFD3" w:rsidP="2634BEDA" w:rsidRDefault="3713EFD3" w14:paraId="28083F89" w14:textId="1171271F">
      <w:pPr>
        <w:pStyle w:val="ListParagraph"/>
        <w:numPr>
          <w:ilvl w:val="1"/>
          <w:numId w:val="1"/>
        </w:numPr>
        <w:spacing w:after="160" w:line="279" w:lineRule="auto"/>
        <w:rPr>
          <w:rFonts w:ascii="Aptos" w:hAnsi="Aptos" w:eastAsia="Aptos" w:cs="Aptos"/>
          <w:b w:val="0"/>
          <w:bCs w:val="0"/>
          <w:i w:val="0"/>
          <w:iCs w:val="0"/>
          <w:caps w:val="0"/>
          <w:smallCaps w:val="0"/>
          <w:strike w:val="1"/>
          <w:noProof w:val="0"/>
          <w:color w:val="auto"/>
          <w:sz w:val="24"/>
          <w:szCs w:val="24"/>
          <w:u w:val="none"/>
          <w:lang w:val="en-US"/>
        </w:rPr>
      </w:pPr>
      <w:r w:rsidRPr="2634BEDA" w:rsidR="3713EFD3">
        <w:rPr>
          <w:rFonts w:ascii="Aptos" w:hAnsi="Aptos" w:eastAsia="Aptos" w:cs="Aptos"/>
          <w:b w:val="0"/>
          <w:bCs w:val="0"/>
          <w:i w:val="0"/>
          <w:iCs w:val="0"/>
          <w:caps w:val="0"/>
          <w:smallCaps w:val="0"/>
          <w:noProof w:val="0"/>
          <w:color w:val="000000" w:themeColor="text1" w:themeTint="FF" w:themeShade="FF"/>
          <w:sz w:val="24"/>
          <w:szCs w:val="24"/>
          <w:lang w:val="en-US"/>
        </w:rPr>
        <w:t xml:space="preserve">MORE member libraries are </w:t>
      </w:r>
      <w:r w:rsidRPr="2634BEDA" w:rsidR="3713EFD3">
        <w:rPr>
          <w:rFonts w:ascii="Aptos" w:hAnsi="Aptos" w:eastAsia="Aptos" w:cs="Aptos"/>
          <w:b w:val="0"/>
          <w:bCs w:val="0"/>
          <w:i w:val="0"/>
          <w:iCs w:val="0"/>
          <w:caps w:val="0"/>
          <w:smallCaps w:val="0"/>
          <w:strike w:val="1"/>
          <w:noProof w:val="0"/>
          <w:color w:val="auto"/>
          <w:sz w:val="24"/>
          <w:szCs w:val="24"/>
          <w:u w:val="none"/>
          <w:lang w:val="en-US"/>
        </w:rPr>
        <w:t>encouraged</w:t>
      </w:r>
      <w:r w:rsidRPr="2634BEDA" w:rsidR="3713EFD3">
        <w:rPr>
          <w:rFonts w:ascii="Aptos" w:hAnsi="Aptos" w:eastAsia="Aptos" w:cs="Aptos"/>
          <w:b w:val="0"/>
          <w:bCs w:val="0"/>
          <w:i w:val="0"/>
          <w:iCs w:val="0"/>
          <w:caps w:val="0"/>
          <w:smallCaps w:val="0"/>
          <w:noProof w:val="0"/>
          <w:color w:val="FF0000"/>
          <w:sz w:val="24"/>
          <w:szCs w:val="24"/>
          <w:lang w:val="en-US"/>
        </w:rPr>
        <w:t xml:space="preserve"> </w:t>
      </w:r>
      <w:r w:rsidRPr="2634BEDA" w:rsidR="3713EFD3">
        <w:rPr>
          <w:rFonts w:ascii="Aptos" w:hAnsi="Aptos" w:eastAsia="Aptos" w:cs="Aptos"/>
          <w:b w:val="0"/>
          <w:bCs w:val="0"/>
          <w:i w:val="0"/>
          <w:iCs w:val="0"/>
          <w:caps w:val="0"/>
          <w:smallCaps w:val="0"/>
          <w:noProof w:val="0"/>
          <w:color w:val="FF0000"/>
          <w:sz w:val="24"/>
          <w:szCs w:val="24"/>
          <w:lang w:val="en-US"/>
        </w:rPr>
        <w:t>required</w:t>
      </w:r>
      <w:r w:rsidRPr="2634BEDA" w:rsidR="3713EFD3">
        <w:rPr>
          <w:rFonts w:ascii="Aptos" w:hAnsi="Aptos" w:eastAsia="Aptos" w:cs="Aptos"/>
          <w:b w:val="0"/>
          <w:bCs w:val="0"/>
          <w:i w:val="0"/>
          <w:iCs w:val="0"/>
          <w:caps w:val="0"/>
          <w:smallCaps w:val="0"/>
          <w:noProof w:val="0"/>
          <w:color w:val="000000" w:themeColor="text1" w:themeTint="FF" w:themeShade="FF"/>
          <w:sz w:val="24"/>
          <w:szCs w:val="24"/>
          <w:lang w:val="en-US"/>
        </w:rPr>
        <w:t xml:space="preserve"> to circulate all types of materials to other MORE member libraries</w:t>
      </w:r>
      <w:r w:rsidRPr="2634BEDA" w:rsidR="3230ACBB">
        <w:rPr>
          <w:rFonts w:ascii="Aptos" w:hAnsi="Aptos" w:eastAsia="Aptos" w:cs="Aptos"/>
          <w:b w:val="0"/>
          <w:bCs w:val="0"/>
          <w:i w:val="0"/>
          <w:iCs w:val="0"/>
          <w:caps w:val="0"/>
          <w:smallCaps w:val="0"/>
          <w:noProof w:val="0"/>
          <w:color w:val="000000" w:themeColor="text1" w:themeTint="FF" w:themeShade="FF"/>
          <w:sz w:val="24"/>
          <w:szCs w:val="24"/>
          <w:lang w:val="en-US"/>
        </w:rPr>
        <w:t>,</w:t>
      </w:r>
      <w:r w:rsidRPr="2634BEDA" w:rsidR="3230ACBB">
        <w:rPr>
          <w:rFonts w:ascii="Aptos" w:hAnsi="Aptos" w:eastAsia="Aptos" w:cs="Aptos"/>
          <w:b w:val="0"/>
          <w:bCs w:val="0"/>
          <w:i w:val="0"/>
          <w:iCs w:val="0"/>
          <w:caps w:val="0"/>
          <w:smallCaps w:val="0"/>
          <w:noProof w:val="0"/>
          <w:color w:val="FF0000"/>
          <w:sz w:val="24"/>
          <w:szCs w:val="24"/>
          <w:lang w:val="en-US"/>
        </w:rPr>
        <w:t xml:space="preserve"> except when:</w:t>
      </w:r>
      <w:r w:rsidRPr="2634BEDA" w:rsidR="3713EFD3">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2634BEDA" w:rsidR="3713EFD3">
        <w:rPr>
          <w:rFonts w:ascii="Aptos" w:hAnsi="Aptos" w:eastAsia="Aptos" w:cs="Aptos"/>
          <w:b w:val="0"/>
          <w:bCs w:val="0"/>
          <w:i w:val="0"/>
          <w:iCs w:val="0"/>
          <w:caps w:val="0"/>
          <w:smallCaps w:val="0"/>
          <w:strike w:val="1"/>
          <w:noProof w:val="0"/>
          <w:color w:val="auto"/>
          <w:sz w:val="24"/>
          <w:szCs w:val="24"/>
          <w:lang w:val="en-US"/>
        </w:rPr>
        <w:t xml:space="preserve">Exceptions may </w:t>
      </w:r>
      <w:r w:rsidRPr="2634BEDA" w:rsidR="3713EFD3">
        <w:rPr>
          <w:rFonts w:ascii="Aptos" w:hAnsi="Aptos" w:eastAsia="Aptos" w:cs="Aptos"/>
          <w:b w:val="0"/>
          <w:bCs w:val="0"/>
          <w:i w:val="0"/>
          <w:iCs w:val="0"/>
          <w:caps w:val="0"/>
          <w:smallCaps w:val="0"/>
          <w:strike w:val="1"/>
          <w:noProof w:val="0"/>
          <w:color w:val="auto"/>
          <w:sz w:val="24"/>
          <w:szCs w:val="24"/>
          <w:lang w:val="en-US"/>
        </w:rPr>
        <w:t>be made</w:t>
      </w:r>
      <w:r w:rsidRPr="2634BEDA" w:rsidR="4BE22D66">
        <w:rPr>
          <w:rFonts w:ascii="Aptos" w:hAnsi="Aptos" w:eastAsia="Aptos" w:cs="Aptos"/>
          <w:b w:val="0"/>
          <w:bCs w:val="0"/>
          <w:i w:val="0"/>
          <w:iCs w:val="0"/>
          <w:caps w:val="0"/>
          <w:smallCaps w:val="0"/>
          <w:strike w:val="1"/>
          <w:noProof w:val="0"/>
          <w:color w:val="auto"/>
          <w:sz w:val="24"/>
          <w:szCs w:val="24"/>
          <w:lang w:val="en-US"/>
        </w:rPr>
        <w:t xml:space="preserve"> at the discretion of the owning library</w:t>
      </w:r>
      <w:r w:rsidRPr="2634BEDA" w:rsidR="3713EFD3">
        <w:rPr>
          <w:rFonts w:ascii="Aptos" w:hAnsi="Aptos" w:eastAsia="Aptos" w:cs="Aptos"/>
          <w:b w:val="0"/>
          <w:bCs w:val="0"/>
          <w:i w:val="0"/>
          <w:iCs w:val="0"/>
          <w:caps w:val="0"/>
          <w:smallCaps w:val="0"/>
          <w:strike w:val="1"/>
          <w:noProof w:val="0"/>
          <w:color w:val="auto"/>
          <w:sz w:val="24"/>
          <w:szCs w:val="24"/>
          <w:lang w:val="en-US"/>
        </w:rPr>
        <w:t xml:space="preserve"> </w:t>
      </w:r>
      <w:r w:rsidRPr="2634BEDA" w:rsidR="3713EFD3">
        <w:rPr>
          <w:rFonts w:ascii="Aptos" w:hAnsi="Aptos" w:eastAsia="Aptos" w:cs="Aptos"/>
          <w:b w:val="0"/>
          <w:bCs w:val="0"/>
          <w:i w:val="0"/>
          <w:iCs w:val="0"/>
          <w:caps w:val="0"/>
          <w:smallCaps w:val="0"/>
          <w:strike w:val="1"/>
          <w:noProof w:val="0"/>
          <w:color w:val="auto"/>
          <w:sz w:val="24"/>
          <w:szCs w:val="24"/>
          <w:lang w:val="en-US"/>
        </w:rPr>
        <w:t xml:space="preserve">only in instances </w:t>
      </w:r>
      <w:r w:rsidRPr="2634BEDA" w:rsidR="3713EFD3">
        <w:rPr>
          <w:rFonts w:ascii="Aptos" w:hAnsi="Aptos" w:eastAsia="Aptos" w:cs="Aptos"/>
          <w:b w:val="0"/>
          <w:bCs w:val="0"/>
          <w:i w:val="0"/>
          <w:iCs w:val="0"/>
          <w:caps w:val="0"/>
          <w:smallCaps w:val="0"/>
          <w:strike w:val="1"/>
          <w:noProof w:val="0"/>
          <w:color w:val="auto"/>
          <w:sz w:val="24"/>
          <w:szCs w:val="24"/>
          <w:lang w:val="en-US"/>
        </w:rPr>
        <w:t>w</w:t>
      </w:r>
      <w:r w:rsidRPr="2634BEDA" w:rsidR="3713EFD3">
        <w:rPr>
          <w:rFonts w:ascii="Aptos" w:hAnsi="Aptos" w:eastAsia="Aptos" w:cs="Aptos"/>
          <w:b w:val="0"/>
          <w:bCs w:val="0"/>
          <w:i w:val="0"/>
          <w:iCs w:val="0"/>
          <w:caps w:val="0"/>
          <w:smallCaps w:val="0"/>
          <w:strike w:val="1"/>
          <w:noProof w:val="0"/>
          <w:color w:val="auto"/>
          <w:sz w:val="24"/>
          <w:szCs w:val="24"/>
          <w:lang w:val="en-US"/>
        </w:rPr>
        <w:t>here</w:t>
      </w:r>
      <w:r w:rsidRPr="2634BEDA" w:rsidR="3713EFD3">
        <w:rPr>
          <w:rFonts w:ascii="Aptos" w:hAnsi="Aptos" w:eastAsia="Aptos" w:cs="Aptos"/>
          <w:b w:val="0"/>
          <w:bCs w:val="0"/>
          <w:i w:val="0"/>
          <w:iCs w:val="0"/>
          <w:caps w:val="0"/>
          <w:smallCaps w:val="0"/>
          <w:strike w:val="1"/>
          <w:noProof w:val="0"/>
          <w:color w:val="000000" w:themeColor="text1" w:themeTint="FF" w:themeShade="FF"/>
          <w:sz w:val="24"/>
          <w:szCs w:val="24"/>
          <w:lang w:val="en-US"/>
        </w:rPr>
        <w:t xml:space="preserve"> </w:t>
      </w:r>
      <w:r w:rsidRPr="2634BEDA" w:rsidR="3713EFD3">
        <w:rPr>
          <w:rFonts w:ascii="Aptos" w:hAnsi="Aptos" w:eastAsia="Aptos" w:cs="Aptos"/>
          <w:b w:val="0"/>
          <w:bCs w:val="0"/>
          <w:i w:val="0"/>
          <w:iCs w:val="0"/>
          <w:caps w:val="0"/>
          <w:smallCaps w:val="0"/>
          <w:strike w:val="1"/>
          <w:noProof w:val="0"/>
          <w:color w:val="auto"/>
          <w:sz w:val="24"/>
          <w:szCs w:val="24"/>
          <w:u w:val="none"/>
          <w:lang w:val="en-US"/>
        </w:rPr>
        <w:t>circulating an item</w:t>
      </w:r>
      <w:r w:rsidRPr="2634BEDA" w:rsidR="44FF82FC">
        <w:rPr>
          <w:rFonts w:ascii="Aptos" w:hAnsi="Aptos" w:eastAsia="Aptos" w:cs="Aptos"/>
          <w:b w:val="0"/>
          <w:bCs w:val="0"/>
          <w:i w:val="0"/>
          <w:iCs w:val="0"/>
          <w:caps w:val="0"/>
          <w:smallCaps w:val="0"/>
          <w:strike w:val="0"/>
          <w:dstrike w:val="0"/>
          <w:noProof w:val="0"/>
          <w:color w:val="auto"/>
          <w:sz w:val="24"/>
          <w:szCs w:val="24"/>
          <w:u w:val="none"/>
          <w:lang w:val="en-US"/>
        </w:rPr>
        <w:t>:</w:t>
      </w:r>
    </w:p>
    <w:p w:rsidR="3713EFD3" w:rsidP="00F65C51" w:rsidRDefault="3713EFD3" w14:paraId="2D6778CC" w14:textId="37AB300F">
      <w:pPr>
        <w:pStyle w:val="ListParagraph"/>
        <w:numPr>
          <w:ilvl w:val="2"/>
          <w:numId w:val="1"/>
        </w:numPr>
        <w:spacing w:before="0" w:beforeAutospacing="off" w:after="0" w:afterAutospacing="off"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00F65C51" w:rsidR="3713EFD3">
        <w:rPr>
          <w:rFonts w:ascii="Aptos" w:hAnsi="Aptos" w:eastAsia="Aptos" w:cs="Aptos"/>
          <w:b w:val="0"/>
          <w:bCs w:val="0"/>
          <w:i w:val="0"/>
          <w:iCs w:val="0"/>
          <w:caps w:val="0"/>
          <w:smallCaps w:val="0"/>
          <w:noProof w:val="0"/>
          <w:color w:val="FF0000"/>
          <w:sz w:val="24"/>
          <w:szCs w:val="24"/>
          <w:lang w:val="en-US"/>
        </w:rPr>
        <w:t>Circulating the item</w:t>
      </w:r>
      <w:r w:rsidRPr="00F65C51" w:rsidR="3713EFD3">
        <w:rPr>
          <w:rFonts w:ascii="Aptos" w:hAnsi="Aptos" w:eastAsia="Aptos" w:cs="Aptos"/>
          <w:b w:val="0"/>
          <w:bCs w:val="0"/>
          <w:i w:val="0"/>
          <w:iCs w:val="0"/>
          <w:caps w:val="0"/>
          <w:smallCaps w:val="0"/>
          <w:noProof w:val="0"/>
          <w:color w:val="000000" w:themeColor="text1" w:themeTint="FF" w:themeShade="FF"/>
          <w:sz w:val="24"/>
          <w:szCs w:val="24"/>
          <w:lang w:val="en-US"/>
        </w:rPr>
        <w:t xml:space="preserve"> may cause damage to that item</w:t>
      </w:r>
      <w:r w:rsidRPr="00F65C51" w:rsidR="5757149A">
        <w:rPr>
          <w:rFonts w:ascii="Aptos" w:hAnsi="Aptos" w:eastAsia="Aptos" w:cs="Aptos"/>
          <w:b w:val="0"/>
          <w:bCs w:val="0"/>
          <w:i w:val="0"/>
          <w:iCs w:val="0"/>
          <w:caps w:val="0"/>
          <w:smallCaps w:val="0"/>
          <w:noProof w:val="0"/>
          <w:color w:val="000000" w:themeColor="text1" w:themeTint="FF" w:themeShade="FF"/>
          <w:sz w:val="24"/>
          <w:szCs w:val="24"/>
          <w:lang w:val="en-US"/>
        </w:rPr>
        <w:t>.</w:t>
      </w:r>
    </w:p>
    <w:p w:rsidR="3713EFD3" w:rsidP="00F65C51" w:rsidRDefault="3713EFD3" w14:paraId="519E7653" w14:textId="0F53134B">
      <w:pPr>
        <w:pStyle w:val="ListParagraph"/>
        <w:numPr>
          <w:ilvl w:val="2"/>
          <w:numId w:val="1"/>
        </w:numPr>
        <w:spacing w:before="0" w:beforeAutospacing="off" w:after="0" w:afterAutospacing="off"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00F65C51" w:rsidR="3713EFD3">
        <w:rPr>
          <w:rFonts w:ascii="Aptos" w:hAnsi="Aptos" w:eastAsia="Aptos" w:cs="Aptos"/>
          <w:b w:val="0"/>
          <w:bCs w:val="0"/>
          <w:i w:val="0"/>
          <w:iCs w:val="0"/>
          <w:caps w:val="0"/>
          <w:smallCaps w:val="0"/>
          <w:noProof w:val="0"/>
          <w:color w:val="FF0000"/>
          <w:sz w:val="24"/>
          <w:szCs w:val="24"/>
          <w:lang w:val="en-US"/>
        </w:rPr>
        <w:t>Circulating the item</w:t>
      </w:r>
      <w:r w:rsidRPr="00F65C51" w:rsidR="3713EFD3">
        <w:rPr>
          <w:rFonts w:ascii="Aptos" w:hAnsi="Aptos" w:eastAsia="Aptos" w:cs="Aptos"/>
          <w:b w:val="0"/>
          <w:bCs w:val="0"/>
          <w:i w:val="0"/>
          <w:iCs w:val="0"/>
          <w:caps w:val="0"/>
          <w:smallCaps w:val="0"/>
          <w:noProof w:val="0"/>
          <w:color w:val="000000" w:themeColor="text1" w:themeTint="FF" w:themeShade="FF"/>
          <w:sz w:val="24"/>
          <w:szCs w:val="24"/>
          <w:lang w:val="en-US"/>
        </w:rPr>
        <w:t xml:space="preserve"> will cause undue burden on owning library staff.</w:t>
      </w:r>
    </w:p>
    <w:p w:rsidR="3713EFD3" w:rsidP="00F65C51" w:rsidRDefault="3713EFD3" w14:paraId="72802421" w14:textId="143E3357">
      <w:pPr>
        <w:pStyle w:val="ListParagraph"/>
        <w:numPr>
          <w:ilvl w:val="2"/>
          <w:numId w:val="1"/>
        </w:numPr>
        <w:spacing w:before="0" w:beforeAutospacing="off" w:after="0" w:afterAutospacing="off" w:line="279" w:lineRule="auto"/>
        <w:ind w:left="2160" w:right="0" w:hanging="360"/>
        <w:jc w:val="left"/>
        <w:rPr>
          <w:rFonts w:ascii="Aptos" w:hAnsi="Aptos" w:eastAsia="Aptos" w:cs="Aptos"/>
          <w:b w:val="0"/>
          <w:bCs w:val="0"/>
          <w:i w:val="0"/>
          <w:iCs w:val="0"/>
          <w:caps w:val="0"/>
          <w:smallCaps w:val="0"/>
          <w:noProof w:val="0"/>
          <w:color w:val="FF0000"/>
          <w:sz w:val="24"/>
          <w:szCs w:val="24"/>
          <w:lang w:val="en-US"/>
        </w:rPr>
      </w:pPr>
      <w:r w:rsidRPr="00F65C51" w:rsidR="3713EFD3">
        <w:rPr>
          <w:rFonts w:ascii="Aptos" w:hAnsi="Aptos" w:eastAsia="Aptos" w:cs="Aptos"/>
          <w:b w:val="0"/>
          <w:bCs w:val="0"/>
          <w:i w:val="0"/>
          <w:iCs w:val="0"/>
          <w:caps w:val="0"/>
          <w:smallCaps w:val="0"/>
          <w:noProof w:val="0"/>
          <w:color w:val="FF0000"/>
          <w:sz w:val="24"/>
          <w:szCs w:val="24"/>
          <w:lang w:val="en-US"/>
        </w:rPr>
        <w:t xml:space="preserve">The item </w:t>
      </w:r>
      <w:r w:rsidRPr="00F65C51" w:rsidR="3713EFD3">
        <w:rPr>
          <w:rFonts w:ascii="Aptos" w:hAnsi="Aptos" w:eastAsia="Aptos" w:cs="Aptos"/>
          <w:b w:val="0"/>
          <w:bCs w:val="0"/>
          <w:i w:val="0"/>
          <w:iCs w:val="0"/>
          <w:caps w:val="0"/>
          <w:smallCaps w:val="0"/>
          <w:noProof w:val="0"/>
          <w:color w:val="FF0000"/>
          <w:sz w:val="24"/>
          <w:szCs w:val="24"/>
          <w:lang w:val="en-US"/>
        </w:rPr>
        <w:t>contains</w:t>
      </w:r>
      <w:r w:rsidRPr="00F65C51" w:rsidR="3713EFD3">
        <w:rPr>
          <w:rFonts w:ascii="Aptos" w:hAnsi="Aptos" w:eastAsia="Aptos" w:cs="Aptos"/>
          <w:b w:val="0"/>
          <w:bCs w:val="0"/>
          <w:i w:val="0"/>
          <w:iCs w:val="0"/>
          <w:caps w:val="0"/>
          <w:smallCaps w:val="0"/>
          <w:noProof w:val="0"/>
          <w:color w:val="FF0000"/>
          <w:sz w:val="24"/>
          <w:szCs w:val="24"/>
          <w:lang w:val="en-US"/>
        </w:rPr>
        <w:t xml:space="preserve"> a </w:t>
      </w:r>
      <w:r w:rsidRPr="00F65C51" w:rsidR="4895415A">
        <w:rPr>
          <w:rFonts w:ascii="Aptos" w:hAnsi="Aptos" w:eastAsia="Aptos" w:cs="Aptos"/>
          <w:b w:val="0"/>
          <w:bCs w:val="0"/>
          <w:i w:val="0"/>
          <w:iCs w:val="0"/>
          <w:caps w:val="0"/>
          <w:smallCaps w:val="0"/>
          <w:noProof w:val="0"/>
          <w:color w:val="FF0000"/>
          <w:sz w:val="24"/>
          <w:szCs w:val="24"/>
          <w:lang w:val="en-US"/>
        </w:rPr>
        <w:t xml:space="preserve">prejudicial </w:t>
      </w:r>
      <w:r w:rsidRPr="00F65C51" w:rsidR="3713EFD3">
        <w:rPr>
          <w:rFonts w:ascii="Aptos" w:hAnsi="Aptos" w:eastAsia="Aptos" w:cs="Aptos"/>
          <w:b w:val="0"/>
          <w:bCs w:val="0"/>
          <w:i w:val="0"/>
          <w:iCs w:val="0"/>
          <w:caps w:val="0"/>
          <w:smallCaps w:val="0"/>
          <w:noProof w:val="0"/>
          <w:color w:val="FF0000"/>
          <w:sz w:val="24"/>
          <w:szCs w:val="24"/>
          <w:lang w:val="en-US"/>
        </w:rPr>
        <w:t>label “</w:t>
      </w:r>
      <w:r w:rsidRPr="00F65C51" w:rsidR="506B7A6C">
        <w:rPr>
          <w:rFonts w:ascii="Aptos" w:hAnsi="Aptos" w:eastAsia="Aptos" w:cs="Aptos"/>
          <w:b w:val="0"/>
          <w:bCs w:val="0"/>
          <w:i w:val="0"/>
          <w:iCs w:val="0"/>
          <w:caps w:val="0"/>
          <w:smallCaps w:val="0"/>
          <w:noProof w:val="0"/>
          <w:color w:val="FF0000"/>
          <w:sz w:val="24"/>
          <w:szCs w:val="24"/>
          <w:lang w:val="en-US"/>
        </w:rPr>
        <w:t xml:space="preserve">designed to restrict access, based on a value judgment that the content, language, or themes of the resource, or the background or views of the creator(s) of the resource, render it inappropriate or offensive for all or certain groups of users.” (As defined in the American Library Association’s </w:t>
      </w:r>
      <w:hyperlink r:id="R1b9e4c9522264777">
        <w:r w:rsidRPr="00F65C51" w:rsidR="506B7A6C">
          <w:rPr>
            <w:rStyle w:val="Hyperlink"/>
            <w:rFonts w:ascii="Aptos" w:hAnsi="Aptos" w:eastAsia="Aptos" w:cs="Aptos"/>
            <w:b w:val="0"/>
            <w:bCs w:val="0"/>
            <w:i w:val="0"/>
            <w:iCs w:val="0"/>
            <w:caps w:val="0"/>
            <w:smallCaps w:val="0"/>
            <w:noProof w:val="0"/>
            <w:sz w:val="24"/>
            <w:szCs w:val="24"/>
            <w:lang w:val="en-US"/>
          </w:rPr>
          <w:t>Labeling Systems: An Interpre</w:t>
        </w:r>
        <w:r w:rsidRPr="00F65C51" w:rsidR="38E4A69B">
          <w:rPr>
            <w:rStyle w:val="Hyperlink"/>
            <w:rFonts w:ascii="Aptos" w:hAnsi="Aptos" w:eastAsia="Aptos" w:cs="Aptos"/>
            <w:b w:val="0"/>
            <w:bCs w:val="0"/>
            <w:i w:val="0"/>
            <w:iCs w:val="0"/>
            <w:caps w:val="0"/>
            <w:smallCaps w:val="0"/>
            <w:noProof w:val="0"/>
            <w:sz w:val="24"/>
            <w:szCs w:val="24"/>
            <w:lang w:val="en-US"/>
          </w:rPr>
          <w:t>tation of the Library Bill of Rights</w:t>
        </w:r>
      </w:hyperlink>
      <w:r w:rsidRPr="00F65C51" w:rsidR="38E4A69B">
        <w:rPr>
          <w:rFonts w:ascii="Aptos" w:hAnsi="Aptos" w:eastAsia="Aptos" w:cs="Aptos"/>
          <w:b w:val="0"/>
          <w:bCs w:val="0"/>
          <w:i w:val="0"/>
          <w:iCs w:val="0"/>
          <w:caps w:val="0"/>
          <w:smallCaps w:val="0"/>
          <w:noProof w:val="0"/>
          <w:color w:val="FF0000"/>
          <w:sz w:val="24"/>
          <w:szCs w:val="24"/>
          <w:lang w:val="en-US"/>
        </w:rPr>
        <w:t>)</w:t>
      </w:r>
    </w:p>
    <w:p w:rsidR="00F65C51" w:rsidP="00F65C51" w:rsidRDefault="00F65C51" w14:paraId="65550315" w14:textId="32A54630">
      <w:pPr>
        <w:pStyle w:val="Normal"/>
      </w:pPr>
    </w:p>
    <w:p w:rsidR="00F65C51" w:rsidP="00F65C51" w:rsidRDefault="00F65C51" w14:paraId="7B90D6B3" w14:textId="5907F838">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5">
    <w:nsid w:val="16c727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79f35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0622f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52dfc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3d532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DD5FC49"/>
    <w:rsid w:val="00F65C51"/>
    <w:rsid w:val="03D7C869"/>
    <w:rsid w:val="05502234"/>
    <w:rsid w:val="096A3836"/>
    <w:rsid w:val="1293B635"/>
    <w:rsid w:val="1948065A"/>
    <w:rsid w:val="1D3B1D2A"/>
    <w:rsid w:val="2634BEDA"/>
    <w:rsid w:val="2722111F"/>
    <w:rsid w:val="297D2AF5"/>
    <w:rsid w:val="2B838D83"/>
    <w:rsid w:val="2CCE2C6A"/>
    <w:rsid w:val="2DD5FC49"/>
    <w:rsid w:val="2E8F0728"/>
    <w:rsid w:val="3230ACBB"/>
    <w:rsid w:val="3713EFD3"/>
    <w:rsid w:val="38E4A69B"/>
    <w:rsid w:val="3E421B5C"/>
    <w:rsid w:val="413B5B24"/>
    <w:rsid w:val="4194647E"/>
    <w:rsid w:val="41FA67E0"/>
    <w:rsid w:val="4465FFDF"/>
    <w:rsid w:val="44FF82FC"/>
    <w:rsid w:val="4639ACA1"/>
    <w:rsid w:val="464AF347"/>
    <w:rsid w:val="4895415A"/>
    <w:rsid w:val="4BE22D66"/>
    <w:rsid w:val="4E1A5899"/>
    <w:rsid w:val="506B7A6C"/>
    <w:rsid w:val="52569CD2"/>
    <w:rsid w:val="53A671C9"/>
    <w:rsid w:val="53F8BF6C"/>
    <w:rsid w:val="5757149A"/>
    <w:rsid w:val="5F7FA7A6"/>
    <w:rsid w:val="61AF1547"/>
    <w:rsid w:val="6D98CC73"/>
    <w:rsid w:val="6DDBBFBC"/>
    <w:rsid w:val="799A8EB3"/>
    <w:rsid w:val="7B217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5FC49"/>
  <w15:chartTrackingRefBased/>
  <w15:docId w15:val="{5073E0D9-E996-4E71-BA52-9CD6A828448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docs.iflsweb.org/more/files/administration/MORE%20Circulation%20Policy%2020210521a.pdf" TargetMode="External" Id="Red527c54deec47c0" /><Relationship Type="http://schemas.openxmlformats.org/officeDocument/2006/relationships/hyperlink" Target="https://www.ala.org/advocacy/intfreedom/librarybill/interpretation/labeling-systems" TargetMode="External" Id="R1b9e4c9522264777" /><Relationship Type="http://schemas.openxmlformats.org/officeDocument/2006/relationships/numbering" Target="numbering.xml" Id="R8a1f39770c1d4e4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2024-06-12T20:39:51.9915532Z</dcterms:created>
  <dcterms:modified xsi:type="dcterms:W3CDTF">2024-09-17T14:48:14.9092471Z</dcterms:modified>
  <dc:creator>Cecelia Cole</dc:creator>
  <lastModifiedBy>Cecelia Cole</lastModifiedBy>
</coreProperties>
</file>